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44"/>
          <w:szCs w:val="44"/>
        </w:rPr>
      </w:pPr>
      <w:bookmarkStart w:id="0" w:name="_GoBack"/>
      <w:bookmarkEnd w:id="0"/>
    </w:p>
    <w:p>
      <w:pPr>
        <w:jc w:val="center"/>
        <w:rPr>
          <w:rFonts w:hint="eastAsia"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基础设施公募REITs投教基础材料</w:t>
      </w:r>
    </w:p>
    <w:p>
      <w:pPr>
        <w:jc w:val="left"/>
        <w:rPr>
          <w:rFonts w:hint="default" w:ascii="Times New Roman" w:hAnsi="Times New Roman" w:eastAsia="仿宋_GB2312" w:cs="Times New Roman"/>
          <w:sz w:val="32"/>
          <w:szCs w:val="32"/>
          <w:lang w:val="en-US" w:eastAsia="zh-CN"/>
        </w:rPr>
      </w:pPr>
    </w:p>
    <w:p>
      <w:pPr>
        <w:ind w:firstLine="640" w:firstLineChars="200"/>
        <w:jc w:val="both"/>
        <w:outlineLvl w:val="0"/>
        <w:rPr>
          <w:rFonts w:hint="default" w:ascii="Times New Roman" w:hAnsi="Times New Roman" w:eastAsia="黑体" w:cs="Times New Roman"/>
          <w:b w:val="0"/>
          <w:bCs w:val="0"/>
          <w:sz w:val="32"/>
          <w:szCs w:val="32"/>
        </w:rPr>
      </w:pPr>
      <w:r>
        <w:rPr>
          <w:rFonts w:hint="eastAsia" w:ascii="Times New Roman" w:hAnsi="Times New Roman" w:eastAsia="黑体" w:cs="Times New Roman"/>
          <w:b w:val="0"/>
          <w:bCs w:val="0"/>
          <w:sz w:val="32"/>
          <w:szCs w:val="32"/>
          <w:lang w:eastAsia="zh-CN"/>
        </w:rPr>
        <w:t>一、</w:t>
      </w:r>
      <w:r>
        <w:rPr>
          <w:rFonts w:hint="default" w:ascii="Times New Roman" w:hAnsi="Times New Roman" w:eastAsia="黑体" w:cs="Times New Roman"/>
          <w:b w:val="0"/>
          <w:bCs w:val="0"/>
          <w:sz w:val="32"/>
          <w:szCs w:val="32"/>
        </w:rPr>
        <w:t>基础设施公募REITs基础知识</w:t>
      </w:r>
    </w:p>
    <w:p>
      <w:pPr>
        <w:pStyle w:val="12"/>
        <w:numPr>
          <w:ilvl w:val="0"/>
          <w:numId w:val="0"/>
        </w:numPr>
        <w:ind w:firstLine="640" w:firstLineChars="200"/>
        <w:outlineLvl w:val="1"/>
        <w:rPr>
          <w:rFonts w:hint="default" w:ascii="Times New Roman" w:hAnsi="Times New Roman" w:eastAsia="楷体_GB2312" w:cs="Times New Roman"/>
          <w:b w:val="0"/>
          <w:bCs/>
          <w:sz w:val="32"/>
          <w:szCs w:val="32"/>
        </w:rPr>
      </w:pPr>
      <w:r>
        <w:rPr>
          <w:rFonts w:hint="default" w:ascii="Times New Roman" w:hAnsi="Times New Roman" w:eastAsia="楷体_GB2312" w:cs="Times New Roman"/>
          <w:b w:val="0"/>
          <w:bCs/>
          <w:sz w:val="32"/>
          <w:szCs w:val="32"/>
          <w:lang w:eastAsia="zh-CN"/>
        </w:rPr>
        <w:t>（一）</w:t>
      </w:r>
      <w:r>
        <w:rPr>
          <w:rFonts w:hint="default" w:ascii="Times New Roman" w:hAnsi="Times New Roman" w:eastAsia="楷体_GB2312" w:cs="Times New Roman"/>
          <w:b w:val="0"/>
          <w:bCs/>
          <w:sz w:val="32"/>
          <w:szCs w:val="32"/>
        </w:rPr>
        <w:t>什么是基础设施公募REITs？其主要收益来源是什么？</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REITs（Real Estate Investment Trusts，不动产投资信托基金）是指在证券交易所公开交易，通过证券化方式将具有持续、稳定收益的不动产资产或权益转化为流动性较强的上市证券的标准化金融产品。</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简单来说，REITs通过募集众多投资者的资金，用于投资不动产资产来获得收益。与股票和债券相比，REITs具有相对中等风险、中等收益的特征。</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2020年4月30日，中国证监会、国家发展改革委联合发布《关于推进基础设施领域不动产投资信托基金（REITs）试点相关工作的通知》，明确要求在基础设施领域推进不动产投资信托基金（以下简称基础设施公募REITs或公募REITs）试点工作，也代表着境内基础设施公募REITs试点正式起步。</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基础设施公募REITs收益依赖于基础设施项目运营产生的收益，主要影响因素包括基础设施项目所属行业的平均收益水平、项目自身的运营情况等方面。</w:t>
      </w:r>
    </w:p>
    <w:p>
      <w:pPr>
        <w:pStyle w:val="12"/>
        <w:numPr>
          <w:ilvl w:val="0"/>
          <w:numId w:val="0"/>
        </w:numPr>
        <w:ind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（二）推进基础设施公募REITs试点有何重要意义？</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基础设施公募REITs是国际通行的配置资产，具有流动性较高、收益相对稳定、安全性较强等特点，能有效盘活存量资产，填补当前金融产品空白，拓宽社会资本投资渠道，提升直接融资比重，增强资本市场服务实体经济质效。短期看有利于广泛筹集项目资本金，降低债务风险，是稳投资、补短板的有效政策工具；长期看有利于完善储蓄转化投资机制，降低实体经济杠杆，推动基础设施投融资市场化、规范化健康发展。</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rPr>
      </w:pPr>
      <w:r>
        <w:rPr>
          <w:rFonts w:hint="default" w:ascii="Times New Roman" w:hAnsi="Times New Roman" w:eastAsia="楷体_GB2312" w:cs="Times New Roman"/>
          <w:b w:val="0"/>
          <w:bCs/>
          <w:sz w:val="32"/>
          <w:szCs w:val="32"/>
          <w:lang w:eastAsia="zh-CN"/>
        </w:rPr>
        <w:t>（三）</w:t>
      </w:r>
      <w:r>
        <w:rPr>
          <w:rFonts w:hint="default" w:ascii="Times New Roman" w:hAnsi="Times New Roman" w:eastAsia="楷体_GB2312" w:cs="Times New Roman"/>
          <w:b w:val="0"/>
          <w:bCs/>
          <w:sz w:val="32"/>
          <w:szCs w:val="32"/>
        </w:rPr>
        <w:t>基础设施公募REITs试点区域和行业范围有何要求？</w:t>
      </w:r>
    </w:p>
    <w:p>
      <w:pPr>
        <w:ind w:firstLine="640" w:firstLineChars="200"/>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全国各地区符合条件的项目均可申报。重点支持位于京津冀协同发展、长江经济带发展、粤港澳大湾区建设、长三角一体化发展、海南全面深化改革开放、黄河流域生态保护和高质量发展等国家重大战略区域，符合“十四五”有关战略规划和实施方案要求的基础设施项目。</w:t>
      </w:r>
    </w:p>
    <w:p>
      <w:pPr>
        <w:ind w:firstLine="640" w:firstLineChars="200"/>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试点主要包括下列行业：交通基础设施、能源基础设施、市政基础设施、生态环保基础设施、仓储物流基础设施、园区基础设施、新型基础设施、保障性租赁住房，探索在水利设施、旅游基础设施等其他基础设施领域开展试点。</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rPr>
      </w:pPr>
      <w:r>
        <w:rPr>
          <w:rFonts w:hint="default" w:ascii="Times New Roman" w:hAnsi="Times New Roman" w:eastAsia="楷体_GB2312" w:cs="Times New Roman"/>
          <w:b w:val="0"/>
          <w:bCs/>
          <w:sz w:val="32"/>
          <w:szCs w:val="32"/>
          <w:lang w:eastAsia="zh-CN"/>
        </w:rPr>
        <w:t>（四）</w:t>
      </w:r>
      <w:r>
        <w:rPr>
          <w:rFonts w:hint="default" w:ascii="Times New Roman" w:hAnsi="Times New Roman" w:eastAsia="楷体_GB2312" w:cs="Times New Roman"/>
          <w:b w:val="0"/>
          <w:bCs/>
          <w:sz w:val="32"/>
          <w:szCs w:val="32"/>
        </w:rPr>
        <w:t>基础设施公募REITs与股票有何不同？</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如果说股票是“公司上市”后发行的有价证券，公募REITs可以被形象地理解为“资产上市”后发行的有价证券。投资人通过持有REITs基金份额，间接成为了基础设施项目的“股东”，且基金上市之后也会有交易报价，与股票投资有异曲同工之妙。</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不同于股票，公募REITs具有以下特点：首先，公募REITs市场波动相对较小。公募REITs底层资产主要为成熟优质、运营稳定的基础设施项目，现金流预期相对明确，单位价值波动性原则上相对有限。其次，公募REITs收益的增长空间相对有限。从物业运营角度来看，出现物业收入大幅增长或维持持续性高增长的可能性较小。在此基础上，公募REITs具有较高的分红比例。公募REITs设有强制分红比例，收益分配比例不低于合并后基金年度可供分配金额的90%，收益分配机制相较股票更为严格。</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rPr>
      </w:pPr>
      <w:r>
        <w:rPr>
          <w:rFonts w:hint="default" w:ascii="Times New Roman" w:hAnsi="Times New Roman" w:eastAsia="楷体_GB2312" w:cs="Times New Roman"/>
          <w:b w:val="0"/>
          <w:bCs/>
          <w:sz w:val="32"/>
          <w:szCs w:val="32"/>
          <w:lang w:eastAsia="zh-CN"/>
        </w:rPr>
        <w:t>（五）</w:t>
      </w:r>
      <w:r>
        <w:rPr>
          <w:rFonts w:hint="default" w:ascii="Times New Roman" w:hAnsi="Times New Roman" w:eastAsia="楷体_GB2312" w:cs="Times New Roman"/>
          <w:b w:val="0"/>
          <w:bCs/>
          <w:sz w:val="32"/>
          <w:szCs w:val="32"/>
        </w:rPr>
        <w:t>基础设施公募REITs与债券有何不同？</w:t>
      </w:r>
    </w:p>
    <w:p>
      <w:pPr>
        <w:ind w:firstLine="640" w:firstLineChars="200"/>
        <w:rPr>
          <w:rFonts w:hint="eastAsia"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一方面，公募REITs没有固定利息回报，其收益主要依靠资产本身的现金流产生能力，以及资产增值带来的份额价值提升预期，会有一定的变动。另一方面，公募REITs本息没有主体信用担保，依赖于资产本身的运营。因此，受基金管理人及资产运营管理机构能力的影响，存在由于运营等因素造成单位价值下跌的风险。</w:t>
      </w:r>
      <w:r>
        <w:rPr>
          <w:rFonts w:hint="eastAsia" w:ascii="Times New Roman" w:hAnsi="Times New Roman" w:eastAsia="仿宋" w:cs="Times New Roman"/>
          <w:sz w:val="32"/>
          <w:szCs w:val="32"/>
          <w:lang w:val="en-US" w:eastAsia="zh-CN"/>
        </w:rPr>
        <w:t xml:space="preserve"> </w:t>
      </w:r>
    </w:p>
    <w:p>
      <w:pPr>
        <w:ind w:firstLine="640" w:firstLineChars="200"/>
        <w:rPr>
          <w:rFonts w:hint="default" w:ascii="Times New Roman" w:hAnsi="Times New Roman" w:eastAsia="楷体_GB2312" w:cs="Times New Roman"/>
          <w:b w:val="0"/>
          <w:bCs w:val="0"/>
          <w:i w:val="0"/>
          <w:iCs w:val="0"/>
          <w:sz w:val="32"/>
          <w:szCs w:val="32"/>
        </w:rPr>
      </w:pPr>
      <w:r>
        <w:rPr>
          <w:rFonts w:hint="default" w:ascii="Times New Roman" w:hAnsi="Times New Roman" w:eastAsia="楷体_GB2312" w:cs="Times New Roman"/>
          <w:b w:val="0"/>
          <w:bCs w:val="0"/>
          <w:i w:val="0"/>
          <w:iCs w:val="0"/>
          <w:sz w:val="32"/>
          <w:szCs w:val="32"/>
          <w:lang w:val="en-US" w:eastAsia="zh-CN"/>
        </w:rPr>
        <w:t>（六）</w:t>
      </w:r>
      <w:r>
        <w:rPr>
          <w:rFonts w:hint="default" w:ascii="Times New Roman" w:hAnsi="Times New Roman" w:eastAsia="楷体_GB2312" w:cs="Times New Roman"/>
          <w:b w:val="0"/>
          <w:bCs w:val="0"/>
          <w:i w:val="0"/>
          <w:iCs w:val="0"/>
          <w:sz w:val="32"/>
          <w:szCs w:val="32"/>
        </w:rPr>
        <w:t>基础设施公募REITs与普通公募基金有何不同？</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不同于普通公募基金，公募REITs具有以下特点：一是资金投向不同。公募REITs产品以拥有持续、稳定经营现金流的一个或数个基础设施项目作为底层基础资产，而普通公募基金主要投资标的为分散化配置的股票、债券等。二是收益来源不同。公募REITs收益来源主要为底层资产经营收益和物业资产增值收益，而普通主动型公募基金除股息、利息收益外，还包括通过灵活调整投资组合获取的资本利得，指数型公募基金的收益情况则取决于指数表现。三是产品定位不同。公募REITs借助发行人、管理人在基础设施项目运营及投资管理领域的专业优势及资源积累，通过运营维护基础设施项目，来获得基金价值的不断提升，而普通主动型公募基金主要依靠基金管理人的主动投资能力，通过灵活配置资产，实现投资收益。</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rPr>
      </w:pPr>
      <w:r>
        <w:rPr>
          <w:rFonts w:hint="default" w:ascii="Times New Roman" w:hAnsi="Times New Roman" w:eastAsia="楷体_GB2312" w:cs="Times New Roman"/>
          <w:b w:val="0"/>
          <w:bCs/>
          <w:sz w:val="32"/>
          <w:szCs w:val="32"/>
          <w:lang w:eastAsia="zh-CN"/>
        </w:rPr>
        <w:t>（七）</w:t>
      </w:r>
      <w:r>
        <w:rPr>
          <w:rFonts w:hint="default" w:ascii="Times New Roman" w:hAnsi="Times New Roman" w:eastAsia="楷体_GB2312" w:cs="Times New Roman"/>
          <w:b w:val="0"/>
          <w:bCs/>
          <w:sz w:val="32"/>
          <w:szCs w:val="32"/>
        </w:rPr>
        <w:t>如何看待基础设施公募REITs的现金流分派率？</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国家发改委发布的《关于进一步做好基础设施领域不动产投资信托基金（REITs）试点工作的通知》（发改投资〔2021〕958号），基础设施项目预计未来3年净现金流分派率（预计年度可分配现金流/目标不动产评估净值）原则上不低于4%。其中，可供分配金额测算是在预测的假设前提与限制条件下编制，所依据的各种假设具有不确定性。预测现金流分派率并非基金管理人向投资者保证本金不受损失或者保证其取得最低收益的承诺。</w:t>
      </w:r>
    </w:p>
    <w:p>
      <w:pPr>
        <w:ind w:firstLine="640" w:firstLineChars="200"/>
        <w:rPr>
          <w:rFonts w:hint="eastAsia" w:ascii="Times New Roman" w:hAnsi="Times New Roman" w:eastAsia="仿宋" w:cs="Times New Roman"/>
          <w:sz w:val="32"/>
          <w:szCs w:val="32"/>
          <w:lang w:eastAsia="zh-CN"/>
        </w:rPr>
      </w:pPr>
      <w:r>
        <w:rPr>
          <w:rFonts w:hint="default" w:ascii="Times New Roman" w:hAnsi="Times New Roman" w:eastAsia="仿宋" w:cs="Times New Roman"/>
          <w:sz w:val="32"/>
          <w:szCs w:val="32"/>
        </w:rPr>
        <w:t>投资者在比较不同项目时，不能单纯看现金流分派率这一个指标，因为现金流分派率可能与基础设施项目类型相关。作为基础设施公募REITs底层资产的基础设施项目类型一般可以分为两类，一类是经营权类的项目（比如收费公路、污水垃圾处理等），另一类是产权类的项目（比如产业园区、仓储物流等）。特别的，对于基础设施项目类型为经营权的项目，由于经营权存在期限，存在基础设施项目价值逐年下降，到期可能趋于零的风险，因此经营权类项目基金分红中包含对投资者初始投资资金的返还，其现金流分派率整体来看也可能略高于产权类的项目。</w:t>
      </w:r>
    </w:p>
    <w:p>
      <w:pPr>
        <w:ind w:firstLine="640" w:firstLineChars="200"/>
        <w:jc w:val="both"/>
        <w:outlineLvl w:val="0"/>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二、</w:t>
      </w:r>
      <w:r>
        <w:rPr>
          <w:rFonts w:hint="default" w:ascii="Times New Roman" w:hAnsi="Times New Roman" w:eastAsia="黑体" w:cs="Times New Roman"/>
          <w:sz w:val="32"/>
          <w:szCs w:val="32"/>
        </w:rPr>
        <w:t>理性参与基础设施公募REITs投资</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（一）近期，交易所市场个别基础设施公募REITs价格涨幅较大。对投资者来说，公募REITs二级市场价格持续上涨有何风险？</w:t>
      </w:r>
    </w:p>
    <w:p>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与股票、基金不同，公募REITs以底层基础设施项目评估价值为定价基础，将运营产生的稳定现金流（如项目租金、垃圾处理费等）作为主要回报来源，随着交易价格上涨，产品净现金流分派率将逐步下降。以“红土盐田港REIT”为例，以3月3日收盘价3.682元进行测算，产品净现金流分派率将由发行时的4.15%下降至2.59%。投资者若盲目跟风高溢价买入公募REITs产品，将面临投资回报大幅下降的风险。</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（二）针对公募REITs二级市场交易价格风险，基金管理人及交易所采取了哪些投资者保护措施？</w:t>
      </w:r>
    </w:p>
    <w:p>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针对近期个别公募REITs产品涨幅较大的情况，相关基础设施REITs已披露关于溢价风险的提示性公告，短期涨幅较大的产品已分别于2月9日、14日和15日向交易所申请了停牌。针对公募REITs市场运行情况，深交所后续将严格按照《证券投资基金上市规则》《交易规则》和《公开募集证券投资基金业务办法（试行）》相关要求，持续加强交易监测，督促市场主体充分信息披露，多措并举加强投资者教育，引导投资者理性参与，避免盲目跟风交易，切实维护公募REITs市场平稳运行。</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（三）投资者应当如何理性看待公募REITs投资？</w:t>
      </w:r>
    </w:p>
    <w:p>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募REITs产品所持基础设施项目盈利能力较强，分派率良好，二级市场价格较发行价上涨存在一定业绩支撑，但投资者应理性看待公募REITs产品与公募基金、股票等其他品种的差异，正确理解公募REITs长期持有、稳定经营基础设施项目的投资逻辑。境内公募REITs市场刚刚起步，市场对于REITs产品及其投资逻辑尚不熟悉。投资者应警惕部分产品交易价格可能存在非理性上涨，切勿跟风炒作，避免高溢价买入相关REITs份额造成投资损失。建议投资者基于理性分析判断，根据未来分红预期，合理评估REITs投资价值，树立理性投资理念。对于广大投资者来说，稳健、安全、收益中等、适宜长期持有，是公募REITs作为投资产品的“角色定位”。</w:t>
      </w:r>
    </w:p>
    <w:p>
      <w:pPr>
        <w:pStyle w:val="12"/>
        <w:numPr>
          <w:ilvl w:val="0"/>
          <w:numId w:val="0"/>
        </w:numPr>
        <w:ind w:left="0" w:firstLine="640" w:firstLineChars="200"/>
        <w:outlineLvl w:val="1"/>
        <w:rPr>
          <w:rFonts w:ascii="Times New Roman" w:hAnsi="Times New Roman" w:eastAsia="楷体_GB2312" w:cs="Times New Roman"/>
          <w:b w:val="0"/>
          <w:bCs/>
          <w:sz w:val="32"/>
          <w:szCs w:val="32"/>
        </w:rPr>
      </w:pPr>
      <w:r>
        <w:rPr>
          <w:rFonts w:hint="eastAsia" w:ascii="Times New Roman" w:hAnsi="Times New Roman" w:eastAsia="楷体_GB2312" w:cs="Times New Roman"/>
          <w:b w:val="0"/>
          <w:bCs/>
          <w:sz w:val="32"/>
          <w:szCs w:val="32"/>
          <w:lang w:eastAsia="zh-CN"/>
        </w:rPr>
        <w:t>（四）</w:t>
      </w:r>
      <w:r>
        <w:rPr>
          <w:rFonts w:hint="default" w:ascii="Times New Roman" w:hAnsi="Times New Roman" w:eastAsia="楷体_GB2312" w:cs="Times New Roman"/>
          <w:b w:val="0"/>
          <w:bCs/>
          <w:sz w:val="32"/>
          <w:szCs w:val="32"/>
        </w:rPr>
        <w:t>投资者应当如何看待公募REITs部分战略投资者限售份额解限安排？</w:t>
      </w:r>
    </w:p>
    <w:p>
      <w:pPr>
        <w:ind w:firstLine="640"/>
        <w:jc w:val="both"/>
        <w:outlineLvl w:val="9"/>
        <w:rPr>
          <w:rFonts w:hint="default" w:ascii="Times New Roman" w:hAnsi="Times New Roman" w:eastAsia="黑体" w:cs="Times New Roman"/>
          <w:sz w:val="32"/>
          <w:szCs w:val="32"/>
        </w:rPr>
      </w:pPr>
      <w:r>
        <w:rPr>
          <w:rFonts w:hint="default" w:ascii="Times New Roman" w:hAnsi="Times New Roman" w:eastAsia="仿宋" w:cs="Times New Roman"/>
          <w:sz w:val="32"/>
          <w:szCs w:val="32"/>
        </w:rPr>
        <w:t>基础设施项目原始权益人或其同一控制下的关联方，以及符合网下投资者规定的专业机构投资者（简称其他战略投资者），可以参与战略配售。其中，其他战略投资者持有基础设施基金份额期限自上市之日起不少于12个月。2</w:t>
      </w:r>
      <w:r>
        <w:rPr>
          <w:rFonts w:ascii="Times New Roman" w:hAnsi="Times New Roman" w:eastAsia="仿宋" w:cs="Times New Roman"/>
          <w:sz w:val="32"/>
          <w:szCs w:val="32"/>
        </w:rPr>
        <w:t>021年</w:t>
      </w:r>
      <w:r>
        <w:rPr>
          <w:rFonts w:hint="default" w:ascii="Times New Roman" w:hAnsi="Times New Roman" w:eastAsia="仿宋" w:cs="Times New Roman"/>
          <w:sz w:val="32"/>
          <w:szCs w:val="32"/>
        </w:rPr>
        <w:t>6月2</w:t>
      </w:r>
      <w:r>
        <w:rPr>
          <w:rFonts w:ascii="Times New Roman" w:hAnsi="Times New Roman" w:eastAsia="仿宋" w:cs="Times New Roman"/>
          <w:sz w:val="32"/>
          <w:szCs w:val="32"/>
        </w:rPr>
        <w:t>1日</w:t>
      </w:r>
      <w:r>
        <w:rPr>
          <w:rFonts w:hint="default" w:ascii="Times New Roman" w:hAnsi="Times New Roman" w:eastAsia="仿宋" w:cs="Times New Roman"/>
          <w:sz w:val="32"/>
          <w:szCs w:val="32"/>
        </w:rPr>
        <w:t>，全市场首批</w:t>
      </w:r>
      <w:r>
        <w:rPr>
          <w:rFonts w:ascii="Times New Roman" w:hAnsi="Times New Roman" w:eastAsia="仿宋" w:cs="Times New Roman"/>
          <w:sz w:val="32"/>
          <w:szCs w:val="32"/>
        </w:rPr>
        <w:t>9</w:t>
      </w:r>
      <w:r>
        <w:rPr>
          <w:rFonts w:hint="default" w:ascii="Times New Roman" w:hAnsi="Times New Roman" w:eastAsia="仿宋" w:cs="Times New Roman"/>
          <w:sz w:val="32"/>
          <w:szCs w:val="32"/>
        </w:rPr>
        <w:t>只基础设施公募REITs顺利上市，其他战略投资者认购份额占发售总份额的比例在1</w:t>
      </w:r>
      <w:r>
        <w:rPr>
          <w:rFonts w:ascii="Times New Roman" w:hAnsi="Times New Roman" w:eastAsia="仿宋" w:cs="Times New Roman"/>
          <w:sz w:val="32"/>
          <w:szCs w:val="32"/>
        </w:rPr>
        <w:t>5</w:t>
      </w:r>
      <w:r>
        <w:rPr>
          <w:rFonts w:hint="default" w:ascii="Times New Roman" w:hAnsi="Times New Roman" w:eastAsia="仿宋" w:cs="Times New Roman"/>
          <w:sz w:val="32"/>
          <w:szCs w:val="32"/>
        </w:rPr>
        <w:t>%-</w:t>
      </w:r>
      <w:r>
        <w:rPr>
          <w:rFonts w:ascii="Times New Roman" w:hAnsi="Times New Roman" w:eastAsia="仿宋" w:cs="Times New Roman"/>
          <w:sz w:val="32"/>
          <w:szCs w:val="32"/>
        </w:rPr>
        <w:t>52</w:t>
      </w:r>
      <w:r>
        <w:rPr>
          <w:rFonts w:hint="default" w:ascii="Times New Roman" w:hAnsi="Times New Roman" w:eastAsia="仿宋" w:cs="Times New Roman"/>
          <w:sz w:val="32"/>
          <w:szCs w:val="32"/>
        </w:rPr>
        <w:t>%</w:t>
      </w:r>
      <w:r>
        <w:rPr>
          <w:rFonts w:ascii="Times New Roman" w:hAnsi="Times New Roman" w:eastAsia="仿宋" w:cs="Times New Roman"/>
          <w:sz w:val="32"/>
          <w:szCs w:val="32"/>
        </w:rPr>
        <w:t>之间</w:t>
      </w:r>
      <w:r>
        <w:rPr>
          <w:rFonts w:hint="default" w:ascii="Times New Roman" w:hAnsi="Times New Roman" w:eastAsia="仿宋" w:cs="Times New Roman"/>
          <w:sz w:val="32"/>
          <w:szCs w:val="32"/>
        </w:rPr>
        <w:t>。2</w:t>
      </w:r>
      <w:r>
        <w:rPr>
          <w:rFonts w:ascii="Times New Roman" w:hAnsi="Times New Roman" w:eastAsia="仿宋" w:cs="Times New Roman"/>
          <w:sz w:val="32"/>
          <w:szCs w:val="32"/>
        </w:rPr>
        <w:t>022年</w:t>
      </w:r>
      <w:r>
        <w:rPr>
          <w:rFonts w:hint="default" w:ascii="Times New Roman" w:hAnsi="Times New Roman" w:eastAsia="仿宋" w:cs="Times New Roman"/>
          <w:sz w:val="32"/>
          <w:szCs w:val="32"/>
        </w:rPr>
        <w:t>6月2</w:t>
      </w:r>
      <w:r>
        <w:rPr>
          <w:rFonts w:ascii="Times New Roman" w:hAnsi="Times New Roman" w:eastAsia="仿宋" w:cs="Times New Roman"/>
          <w:sz w:val="32"/>
          <w:szCs w:val="32"/>
        </w:rPr>
        <w:t>0日</w:t>
      </w:r>
      <w:r>
        <w:rPr>
          <w:rFonts w:hint="default" w:ascii="Times New Roman" w:hAnsi="Times New Roman" w:eastAsia="仿宋" w:cs="Times New Roman"/>
          <w:sz w:val="32"/>
          <w:szCs w:val="32"/>
        </w:rPr>
        <w:t>，上述</w:t>
      </w:r>
      <w:r>
        <w:rPr>
          <w:rFonts w:ascii="Times New Roman" w:hAnsi="Times New Roman" w:eastAsia="仿宋" w:cs="Times New Roman"/>
          <w:sz w:val="32"/>
          <w:szCs w:val="32"/>
        </w:rPr>
        <w:t>其他战略投资者持有</w:t>
      </w:r>
      <w:r>
        <w:rPr>
          <w:rFonts w:hint="default" w:ascii="Times New Roman" w:hAnsi="Times New Roman" w:eastAsia="仿宋" w:cs="Times New Roman"/>
          <w:sz w:val="32"/>
          <w:szCs w:val="32"/>
        </w:rPr>
        <w:t>基础设施基金份额期满1</w:t>
      </w:r>
      <w:r>
        <w:rPr>
          <w:rFonts w:ascii="Times New Roman" w:hAnsi="Times New Roman" w:eastAsia="仿宋" w:cs="Times New Roman"/>
          <w:sz w:val="32"/>
          <w:szCs w:val="32"/>
        </w:rPr>
        <w:t>2个月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符合解除限售条件</w:t>
      </w:r>
      <w:r>
        <w:rPr>
          <w:rFonts w:hint="default" w:ascii="Times New Roman" w:hAnsi="Times New Roman" w:eastAsia="仿宋" w:cs="Times New Roman"/>
          <w:sz w:val="32"/>
          <w:szCs w:val="32"/>
        </w:rPr>
        <w:t>。考虑到资本市场对于REITs产品及其投资逻辑尚不甚熟悉，不排除首批产品部分战略投资者限售份额解限后二级市场价格出现一定波动。建议</w:t>
      </w:r>
      <w:r>
        <w:rPr>
          <w:rFonts w:ascii="Times New Roman" w:hAnsi="Times New Roman" w:eastAsia="仿宋" w:cs="Times New Roman"/>
          <w:sz w:val="32"/>
          <w:szCs w:val="32"/>
        </w:rPr>
        <w:t>投资者密切关注基金管理人在限售解除前披露的解除限售安排公告</w:t>
      </w:r>
      <w:r>
        <w:rPr>
          <w:rFonts w:hint="default" w:ascii="Times New Roman" w:hAnsi="Times New Roman" w:eastAsia="仿宋" w:cs="Times New Roman"/>
          <w:sz w:val="32"/>
          <w:szCs w:val="32"/>
        </w:rPr>
        <w:t>，</w:t>
      </w:r>
      <w:r>
        <w:rPr>
          <w:rFonts w:ascii="Times New Roman" w:hAnsi="Times New Roman" w:eastAsia="仿宋" w:cs="Times New Roman"/>
          <w:sz w:val="32"/>
          <w:szCs w:val="32"/>
        </w:rPr>
        <w:t>了解</w:t>
      </w:r>
      <w:r>
        <w:rPr>
          <w:rFonts w:hint="default" w:ascii="Times New Roman" w:hAnsi="Times New Roman" w:eastAsia="仿宋" w:cs="Times New Roman"/>
          <w:sz w:val="32"/>
          <w:szCs w:val="32"/>
        </w:rPr>
        <w:t>相关</w:t>
      </w:r>
      <w:r>
        <w:rPr>
          <w:rFonts w:ascii="Times New Roman" w:hAnsi="Times New Roman" w:eastAsia="仿宋" w:cs="Times New Roman"/>
          <w:sz w:val="32"/>
          <w:szCs w:val="32"/>
        </w:rPr>
        <w:t>战略投资者解限份额</w:t>
      </w:r>
      <w:r>
        <w:rPr>
          <w:rFonts w:hint="default" w:ascii="Times New Roman" w:hAnsi="Times New Roman" w:eastAsia="仿宋" w:cs="Times New Roman"/>
          <w:sz w:val="32"/>
          <w:szCs w:val="32"/>
        </w:rPr>
        <w:t>、</w:t>
      </w:r>
      <w:r>
        <w:rPr>
          <w:rFonts w:ascii="Times New Roman" w:hAnsi="Times New Roman" w:eastAsia="仿宋" w:cs="Times New Roman"/>
          <w:sz w:val="32"/>
          <w:szCs w:val="32"/>
        </w:rPr>
        <w:t>流通安排等情况</w:t>
      </w:r>
      <w:r>
        <w:rPr>
          <w:rFonts w:hint="default" w:ascii="Times New Roman" w:hAnsi="Times New Roman" w:eastAsia="仿宋" w:cs="Times New Roman"/>
          <w:sz w:val="32"/>
          <w:szCs w:val="32"/>
        </w:rPr>
        <w:t>，</w:t>
      </w:r>
      <w:r>
        <w:rPr>
          <w:rFonts w:ascii="Times New Roman" w:hAnsi="Times New Roman" w:eastAsia="仿宋" w:cs="Times New Roman"/>
          <w:sz w:val="32"/>
          <w:szCs w:val="32"/>
        </w:rPr>
        <w:t>理性看待公募</w:t>
      </w:r>
      <w:r>
        <w:rPr>
          <w:rFonts w:hint="default" w:ascii="Times New Roman" w:hAnsi="Times New Roman" w:eastAsia="仿宋" w:cs="Times New Roman"/>
          <w:sz w:val="32"/>
          <w:szCs w:val="32"/>
        </w:rPr>
        <w:t>REITs投资价值，避免追涨杀跌，导致投资损失。</w:t>
      </w:r>
    </w:p>
    <w:p>
      <w:pPr>
        <w:ind w:firstLine="640" w:firstLineChars="200"/>
        <w:jc w:val="both"/>
        <w:outlineLvl w:val="0"/>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三、</w:t>
      </w:r>
      <w:r>
        <w:rPr>
          <w:rFonts w:hint="default" w:ascii="Times New Roman" w:hAnsi="Times New Roman" w:eastAsia="黑体" w:cs="Times New Roman"/>
          <w:sz w:val="32"/>
          <w:szCs w:val="32"/>
        </w:rPr>
        <w:t>基础设施公募REITs基金发售</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（一）基础设施公募REITs发售流程是怎样的？</w:t>
      </w:r>
    </w:p>
    <w:p>
      <w:pPr>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基础设施基金份额的发售，分为战略配售、网下询价并定价、网下配售、公众投资者认购等环节。基金管理人或财务顾问通过向网下投资者以询价的方式确定基础设施基金认购价格后，投资者按照确定的认购价格参与基础设施基金份额认购。</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（二）投资者参与基础设施基金份额认购的方式包括哪些？</w:t>
      </w:r>
    </w:p>
    <w:p>
      <w:pPr>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投资者参与基础设施基金份额认购的方式有三种，分别为战略投资者配售、网下投资者配售和公众投资者认购。</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（三）投资者参与基础设施基金投资有准入条件吗？</w:t>
      </w:r>
    </w:p>
    <w:p>
      <w:pPr>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投资者参与基础设施基金投资无准入条件要求，但普通投资者在首次认购或买入基础设施基金份额前，应当通过基金销售机构或证券公司等以纸质或者电子形式签署风险揭示书，确认了解基础设施基金产品特征及主要风险。</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（四）如何看待基础设施公募REITs的发行价格？</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募REITs发行价格不是1元/份，而是根据询价情况市场化定价。公募REITs的发行价格受到基础设施项目评估价值、发行份额等因素影响。投资者应综合比较各项目基础设施项目评估价值、实际募集总规模（即发行份额乘以发行价格）、运营管理机构能力、未来现金流分派率等情况，合理审慎做出投资决策，不同项目发行价格的绝对值大小本身并不具备可比性。</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（五）投资者应使用什么账户参与基础设施基金认购？</w:t>
      </w:r>
    </w:p>
    <w:p>
      <w:pPr>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投资者参与基础设施基金场内认购的，应当持有中国结算深圳人民币普通股票账户或封闭式基金账户（统称场内证券账户）；投资者参与基础设施基金场外认购的，应当持有中国结算开放式基金账户（即场外基金账户）。</w:t>
      </w:r>
    </w:p>
    <w:p>
      <w:pPr>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基础设施基金上市后，投资者使用场内证券账户认购的基金份额，可直接参与场内交易；使用场外基金账户认购的基金份额，应先转托管至场内证券经营机构后，才可参与场内交易。</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（六）公众投资者如何认购基础设施基金？</w:t>
      </w:r>
    </w:p>
    <w:p>
      <w:pPr>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募集期内，公众投资者可以通过场内证券经营机构或基金管理人及其委托的场外基金销售机构认购基金份额。公众投资者的认购方式与现行LOF基金认购方式一致。公众投资者中的普通投资者在首次认购或买入基金份额前，应当签署风险揭示书。</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（七）基础设施公募REITs公众投资者配售规则是什么？</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般情况下，根据公募REITs《基金份额发售公告》，若公众投资者在募集期内有效认购申请份额总额超过公众投资者的募集上限，实行末日比例配售，即在基金募集期内，公众投资者有效认购申请份额总额超过公众投资者募集上限的当天视为募集末日，公众发售部分的募集期于该日结束，末日前的有效认购申请全额确认成功，末日当天的有效认购申请，根据剩余额度，予以比例配售。</w:t>
      </w:r>
    </w:p>
    <w:p>
      <w:pPr>
        <w:ind w:firstLine="640" w:firstLineChars="200"/>
        <w:jc w:val="both"/>
        <w:outlineLvl w:val="9"/>
        <w:rPr>
          <w:rFonts w:hint="default" w:ascii="Times New Roman" w:hAnsi="Times New Roman" w:eastAsia="黑体" w:cs="Times New Roman"/>
          <w:sz w:val="32"/>
          <w:szCs w:val="32"/>
        </w:rPr>
      </w:pPr>
      <w:r>
        <w:rPr>
          <w:rFonts w:hint="default" w:ascii="Times New Roman" w:hAnsi="Times New Roman" w:eastAsia="仿宋" w:cs="Times New Roman"/>
          <w:sz w:val="32"/>
          <w:szCs w:val="32"/>
        </w:rPr>
        <w:t>因此，在公募REITs募集期首日，即使公众投资者募集总规模达到或超过公众发售规模上限，所有提交了有效认购申请的公众投资者均可按比例获得配售，同时公众发售部分的募集期将于该日结束。也就是说，如果公众投资者募集规模为10亿，却在募集期首日有100亿认购规模的话，每个投资者均能买到认购规模的1/10。这与新股网上申购采用的“摇号”制度有着显著不同。</w:t>
      </w:r>
    </w:p>
    <w:p>
      <w:pPr>
        <w:ind w:firstLine="640" w:firstLineChars="200"/>
        <w:jc w:val="both"/>
        <w:outlineLvl w:val="0"/>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四、</w:t>
      </w:r>
      <w:r>
        <w:rPr>
          <w:rFonts w:hint="default" w:ascii="Times New Roman" w:hAnsi="Times New Roman" w:eastAsia="黑体" w:cs="Times New Roman"/>
          <w:sz w:val="32"/>
          <w:szCs w:val="32"/>
        </w:rPr>
        <w:t>基础设施公募REITs基金交易</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（一）基础设施基金有哪些交易方式？</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基础设施基金可以采用竞价、大宗和询价等深交所认可的交易方式进行交易。除《深圳证券交易所公开募集基础设施证券投资基金业务办法（试行）》另有规定外，基础设施基金采用竞价及大宗交易的，具体的委托、申报、成交、交易时间等事宜应当适用《深圳证券交易所交易规则》《深圳证券交易所证券投资基金交易和申购赎回实施细则》等相关规定。</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（二）基础设施基金的成交价格范围是如何规定的？</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深交所对基础设施基金交易实行价格涨跌幅限制，基础设施基金上市首日涨跌幅限制比例为30%，非上市首日涨跌幅限制比例为10%，深交所另有规定的除外。</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基础设施基金采用竞价交易的，其有效竞价范围与涨跌幅限制范围一致，在价格涨跌幅限制以内的申报为有效申报，超过涨跌幅限制的申报为无效申报。 </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基础设施基金采用协议大宗或询价交易的，成交价格在该证券当日涨跌幅限制价格范围内确定。</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（三）基础设施基金的交易申报及成交确认时间是怎样的？</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基础设施基金采用竞价交易的，申报时间为每个交易日9:15至9:25、9:30至11:30、13:00至15:00。</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基础设施基金采用协议大宗交易的，申报时间为每个交易日9:15至11:30、13:00至15:30。采用盘后定价大宗交易的，申报时间为每个交易日15:05至15:30。</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基础设施基金采用询价交易的，申报时间为每个交易日9:15至11:30、13:00至15:30。</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基础设施基金采用大宗或询价交易的，在接受申报的时间内实时确认成交。</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（四）基础设施基金申报数量有哪些要求？</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基础设施基金采用竞价交易的，申报数量应当为100份或其整数倍，卖出基金时余额不足100份部分，应当一次性申报卖出；单笔申报的最大数量应当不超过10亿份。</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基础设施基金采用大宗或询价交易的，单笔申报数量应当为1000份或者其整数倍。</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（五）场外登记的基础设施基金份额能否在场内交易？</w:t>
      </w:r>
    </w:p>
    <w:p>
      <w:pPr>
        <w:ind w:firstLine="640" w:firstLineChars="200"/>
        <w:rPr>
          <w:rFonts w:hint="default" w:ascii="Times New Roman" w:hAnsi="Times New Roman" w:eastAsia="楷体_GB2312" w:cs="Times New Roman"/>
          <w:b w:val="0"/>
          <w:bCs/>
          <w:kern w:val="2"/>
          <w:sz w:val="32"/>
          <w:szCs w:val="32"/>
          <w:lang w:val="en-US" w:eastAsia="zh-CN" w:bidi="ar-SA"/>
        </w:rPr>
      </w:pPr>
      <w:r>
        <w:rPr>
          <w:rFonts w:hint="default" w:ascii="Times New Roman" w:hAnsi="Times New Roman" w:eastAsia="仿宋" w:cs="Times New Roman"/>
          <w:sz w:val="32"/>
          <w:szCs w:val="32"/>
        </w:rPr>
        <w:t>基础设施基金采取封闭式运作，不开放申购与赎回，在证券交</w:t>
      </w:r>
      <w:r>
        <w:rPr>
          <w:rFonts w:hint="default" w:ascii="Times New Roman" w:hAnsi="Times New Roman" w:eastAsia="仿宋_GB2312" w:cs="Times New Roman"/>
          <w:sz w:val="32"/>
          <w:szCs w:val="32"/>
        </w:rPr>
        <w:t>易所上市，场外份额持有人可将基金份额转托管至场</w:t>
      </w:r>
      <w:r>
        <w:rPr>
          <w:rFonts w:hint="default" w:ascii="Times New Roman" w:hAnsi="Times New Roman" w:eastAsia="仿宋_GB2312" w:cs="Times New Roman"/>
          <w:b w:val="0"/>
          <w:bCs/>
          <w:kern w:val="2"/>
          <w:sz w:val="32"/>
          <w:szCs w:val="32"/>
          <w:lang w:val="en-US" w:eastAsia="zh-CN" w:bidi="ar-SA"/>
        </w:rPr>
        <w:t>内卖出，或通过深交所基金通平台转让基金份额。</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（六）基础设施基金交易信息通过什么渠道披露？</w:t>
      </w:r>
    </w:p>
    <w:p>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深交所在交易时间内通过交易系统或交易所网站即时公布基础设施基金的证券代码、证券简称、买卖方向、数量、价格等信息。</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eastAsia="zh-CN"/>
        </w:rPr>
        <w:t>（七）投资者交易基础设施基金前是否需签署风险揭示书？</w:t>
      </w:r>
    </w:p>
    <w:p>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普通投资者首次认购或买入基础设施基金份额前，应当以纸质或者电子形式签署风险揭示书，确认已了解基础设施基金产品特征及主要风险。</w:t>
      </w:r>
    </w:p>
    <w:p>
      <w:pPr>
        <w:pStyle w:val="12"/>
        <w:numPr>
          <w:ilvl w:val="0"/>
          <w:numId w:val="0"/>
        </w:numPr>
        <w:ind w:leftChars="0" w:firstLine="640" w:firstLineChars="200"/>
        <w:outlineLvl w:val="1"/>
        <w:rPr>
          <w:rFonts w:hint="default" w:ascii="Times New Roman" w:hAnsi="Times New Roman" w:eastAsia="楷体_GB2312" w:cs="Times New Roman"/>
          <w:b w:val="0"/>
          <w:bCs/>
          <w:sz w:val="32"/>
          <w:szCs w:val="32"/>
        </w:rPr>
      </w:pPr>
      <w:r>
        <w:rPr>
          <w:rFonts w:hint="default" w:ascii="Times New Roman" w:hAnsi="Times New Roman" w:eastAsia="楷体_GB2312" w:cs="Times New Roman"/>
          <w:b w:val="0"/>
          <w:bCs/>
          <w:sz w:val="32"/>
          <w:szCs w:val="32"/>
          <w:lang w:eastAsia="zh-CN"/>
        </w:rPr>
        <w:t>（八）</w:t>
      </w:r>
      <w:r>
        <w:rPr>
          <w:rFonts w:hint="default" w:ascii="Times New Roman" w:hAnsi="Times New Roman" w:eastAsia="楷体_GB2312" w:cs="Times New Roman"/>
          <w:b w:val="0"/>
          <w:bCs/>
          <w:sz w:val="32"/>
          <w:szCs w:val="32"/>
        </w:rPr>
        <w:t>风险揭示书列举的风险包括哪些？</w:t>
      </w:r>
    </w:p>
    <w:p>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投资基础设施基金可能面临以下风险，包括但不限于：</w:t>
      </w:r>
    </w:p>
    <w:p>
      <w:pPr>
        <w:ind w:firstLine="640"/>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基金价格波动风险。受经济环境、运营管理等因素影响，基础设施项目市场价值及现金流情况可能发生变化，可能引起基础设施基金价格波动。</w:t>
      </w:r>
    </w:p>
    <w:p>
      <w:pPr>
        <w:ind w:firstLine="640"/>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基础设施项目运营风险。基础设施项目可能因经济环境变化或运营不善等因素影响，存在基金收益率不佳的风险。</w:t>
      </w:r>
    </w:p>
    <w:p>
      <w:pPr>
        <w:ind w:firstLine="640"/>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流动性风险。基础设施基金采取封闭式运作，不开通申购赎回，只能在二级市场交易，存在流动性不足的风险。</w:t>
      </w:r>
    </w:p>
    <w:p>
      <w:pPr>
        <w:ind w:firstLine="640"/>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终止上市风险。基础设施基金运作过程中可能因触发法律法规等情形而终止上市。</w:t>
      </w:r>
    </w:p>
    <w:p>
      <w:pPr>
        <w:ind w:firstLine="640"/>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税收等政策调整风险。如果国家税收等政策发生调整，可能影响投资运作与基金收益。</w:t>
      </w:r>
    </w:p>
    <w:p>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风险揭示书的揭示事项仅为列举事项，未能详尽列明基础设施基金的所有风险。</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oa.csrc.gov.cn/resoftCtrl/DownloadController?attachmentId=1b8e2d0a7fdd4456bcc8638cdcf4cd3a&amp;fileDirId=defultDirectory"/>
  </w:docVars>
  <w:rsids>
    <w:rsidRoot w:val="00626AD6"/>
    <w:rsid w:val="000B26EF"/>
    <w:rsid w:val="000B2C93"/>
    <w:rsid w:val="000F086C"/>
    <w:rsid w:val="00102C73"/>
    <w:rsid w:val="001C738F"/>
    <w:rsid w:val="002637D6"/>
    <w:rsid w:val="002D10CB"/>
    <w:rsid w:val="00336A4C"/>
    <w:rsid w:val="00400F35"/>
    <w:rsid w:val="004308DB"/>
    <w:rsid w:val="00473123"/>
    <w:rsid w:val="004C283C"/>
    <w:rsid w:val="004F76D9"/>
    <w:rsid w:val="00564BF4"/>
    <w:rsid w:val="00595883"/>
    <w:rsid w:val="00626AD6"/>
    <w:rsid w:val="00684C60"/>
    <w:rsid w:val="008528D5"/>
    <w:rsid w:val="00876D51"/>
    <w:rsid w:val="008A4E98"/>
    <w:rsid w:val="00932CAD"/>
    <w:rsid w:val="00964035"/>
    <w:rsid w:val="009673A6"/>
    <w:rsid w:val="009F3F2A"/>
    <w:rsid w:val="00A03E73"/>
    <w:rsid w:val="00A46A49"/>
    <w:rsid w:val="00A50197"/>
    <w:rsid w:val="00A936B1"/>
    <w:rsid w:val="00AF3EA2"/>
    <w:rsid w:val="00B23845"/>
    <w:rsid w:val="00BC1330"/>
    <w:rsid w:val="00C575F9"/>
    <w:rsid w:val="00CD4892"/>
    <w:rsid w:val="00D3536B"/>
    <w:rsid w:val="00E521D9"/>
    <w:rsid w:val="00E966EC"/>
    <w:rsid w:val="00ED7CF2"/>
    <w:rsid w:val="00EE3831"/>
    <w:rsid w:val="00EF6F6F"/>
    <w:rsid w:val="00FB3CB8"/>
    <w:rsid w:val="00FC5441"/>
    <w:rsid w:val="00FF14F4"/>
    <w:rsid w:val="04130804"/>
    <w:rsid w:val="06576342"/>
    <w:rsid w:val="0D8A6589"/>
    <w:rsid w:val="347E7CAC"/>
    <w:rsid w:val="4657EBDC"/>
    <w:rsid w:val="4BE426BD"/>
    <w:rsid w:val="54B668F4"/>
    <w:rsid w:val="60FF098D"/>
    <w:rsid w:val="64AD4DB0"/>
    <w:rsid w:val="6E2E30BD"/>
    <w:rsid w:val="7EF48735"/>
    <w:rsid w:val="B7CD5016"/>
    <w:rsid w:val="BF778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paragraph" w:styleId="12">
    <w:name w:val="List Paragraph"/>
    <w:basedOn w:val="1"/>
    <w:link w:val="13"/>
    <w:qFormat/>
    <w:uiPriority w:val="1"/>
    <w:pPr>
      <w:ind w:firstLine="420" w:firstLineChars="200"/>
    </w:pPr>
  </w:style>
  <w:style w:type="character" w:customStyle="1" w:styleId="13">
    <w:name w:val="列出段落 Char"/>
    <w:link w:val="12"/>
    <w:qFormat/>
    <w:uiPriority w:val="34"/>
  </w:style>
  <w:style w:type="character" w:customStyle="1" w:styleId="14">
    <w:name w:val="批注文字 Char"/>
    <w:basedOn w:val="8"/>
    <w:link w:val="2"/>
    <w:semiHidden/>
    <w:qFormat/>
    <w:uiPriority w:val="99"/>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13</Pages>
  <Words>861</Words>
  <Characters>4908</Characters>
  <Lines>40</Lines>
  <Paragraphs>11</Paragraphs>
  <TotalTime>1</TotalTime>
  <ScaleCrop>false</ScaleCrop>
  <LinksUpToDate>false</LinksUpToDate>
  <CharactersWithSpaces>5758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2022-03-23T18:40:00Z</dcterms:created>
  <dc:creator>lhwang</dc:creator>
  <cp:lastModifiedBy>houhl</cp:lastModifiedBy>
  <cp:lastPrinted>2022-03-24T18:11:00Z</cp:lastPrinted>
  <dcterms:modified xsi:type="dcterms:W3CDTF">2022-04-15T06:55:28Z</dcterms:modified>
  <dc:title>基础设施公募REITs投教宣传方案</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